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AA" w:rsidRDefault="005F28CB">
      <w:r>
        <w:tab/>
      </w:r>
      <w:r>
        <w:tab/>
      </w:r>
      <w:r>
        <w:tab/>
        <w:t>Pastoral Competencies in the Anglican Tradition</w:t>
      </w:r>
    </w:p>
    <w:p w:rsidR="005F28CB" w:rsidRDefault="005F28CB"/>
    <w:p w:rsidR="005F28CB" w:rsidRDefault="005F28CB">
      <w:r>
        <w:t>Instructor: Byard Bennett (</w:t>
      </w:r>
      <w:hyperlink r:id="rId5" w:history="1">
        <w:r w:rsidRPr="001A65D6">
          <w:rPr>
            <w:rStyle w:val="Hyperlink"/>
          </w:rPr>
          <w:t>byard.bennett@cornerstone.edu</w:t>
        </w:r>
      </w:hyperlink>
      <w:r>
        <w:t>)</w:t>
      </w:r>
    </w:p>
    <w:p w:rsidR="005F28CB" w:rsidRDefault="005F28CB"/>
    <w:p w:rsidR="005F28CB" w:rsidRPr="00B66859" w:rsidRDefault="005F28CB">
      <w:pPr>
        <w:rPr>
          <w:u w:val="single"/>
        </w:rPr>
      </w:pPr>
      <w:r w:rsidRPr="00B66859">
        <w:rPr>
          <w:u w:val="single"/>
        </w:rPr>
        <w:t>Unit 1: Baptismal Teaching and Practice in the Anglican Tradition</w:t>
      </w:r>
    </w:p>
    <w:p w:rsidR="005F28CB" w:rsidRDefault="005F28CB">
      <w:r>
        <w:t>Required Readings:</w:t>
      </w:r>
    </w:p>
    <w:p w:rsidR="005F28CB" w:rsidRDefault="005F28CB" w:rsidP="005F28CB">
      <w:pPr>
        <w:rPr>
          <w:rFonts w:ascii="Times New Roman" w:eastAsia="Times New Roman" w:hAnsi="Times New Roman" w:cs="Times New Roman"/>
        </w:rPr>
      </w:pPr>
      <w:r w:rsidRPr="005F28CB">
        <w:rPr>
          <w:rFonts w:ascii="Times New Roman" w:eastAsia="Times New Roman" w:hAnsi="Times New Roman" w:cs="Times New Roman"/>
        </w:rPr>
        <w:t>E.C.S. Gibson, The Thirty-Ni</w:t>
      </w:r>
      <w:r>
        <w:rPr>
          <w:rFonts w:ascii="Times New Roman" w:eastAsia="Times New Roman" w:hAnsi="Times New Roman" w:cs="Times New Roman"/>
        </w:rPr>
        <w:t>ne Articles (1915 edition), pp.</w:t>
      </w:r>
      <w:r w:rsidRPr="005F28CB">
        <w:rPr>
          <w:rFonts w:ascii="Times New Roman" w:eastAsia="Times New Roman" w:hAnsi="Times New Roman" w:cs="Times New Roman"/>
        </w:rPr>
        <w:t xml:space="preserve"> 573-675 (on ministering in the congregation and sacramental theology)</w:t>
      </w:r>
    </w:p>
    <w:p w:rsidR="005F28CB" w:rsidRDefault="00405623" w:rsidP="005F28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 </w:t>
      </w:r>
      <w:proofErr w:type="spellStart"/>
      <w:r>
        <w:rPr>
          <w:rFonts w:ascii="Times New Roman" w:eastAsia="Times New Roman" w:hAnsi="Times New Roman" w:cs="Times New Roman"/>
        </w:rPr>
        <w:t>E</w:t>
      </w:r>
      <w:r w:rsidR="005F28CB">
        <w:rPr>
          <w:rFonts w:ascii="Times New Roman" w:eastAsia="Times New Roman" w:hAnsi="Times New Roman" w:cs="Times New Roman"/>
        </w:rPr>
        <w:t>dgcumbe</w:t>
      </w:r>
      <w:proofErr w:type="spellEnd"/>
      <w:r w:rsidR="005F28CB">
        <w:rPr>
          <w:rFonts w:ascii="Times New Roman" w:eastAsia="Times New Roman" w:hAnsi="Times New Roman" w:cs="Times New Roman"/>
        </w:rPr>
        <w:t xml:space="preserve"> Hughes, </w:t>
      </w:r>
      <w:r w:rsidR="005F28CB" w:rsidRPr="00405623">
        <w:rPr>
          <w:rFonts w:ascii="Times New Roman" w:eastAsia="Times New Roman" w:hAnsi="Times New Roman" w:cs="Times New Roman"/>
          <w:i/>
        </w:rPr>
        <w:t xml:space="preserve">Theology of the English Reformers </w:t>
      </w:r>
      <w:r w:rsidR="005F28CB">
        <w:rPr>
          <w:rFonts w:ascii="Times New Roman" w:eastAsia="Times New Roman" w:hAnsi="Times New Roman" w:cs="Times New Roman"/>
        </w:rPr>
        <w:t>(Grand Rapids: William B. Eerdmans, 1965), 189-208</w:t>
      </w:r>
    </w:p>
    <w:p w:rsidR="005F28CB" w:rsidRDefault="005F28CB" w:rsidP="005F28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G.W. </w:t>
      </w:r>
      <w:proofErr w:type="spellStart"/>
      <w:r>
        <w:rPr>
          <w:rFonts w:ascii="Times New Roman" w:eastAsia="Times New Roman" w:hAnsi="Times New Roman" w:cs="Times New Roman"/>
        </w:rPr>
        <w:t>Bromiley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Baptism and the Anglican Reformers </w:t>
      </w:r>
      <w:r>
        <w:rPr>
          <w:rFonts w:ascii="Times New Roman" w:eastAsia="Times New Roman" w:hAnsi="Times New Roman" w:cs="Times New Roman"/>
        </w:rPr>
        <w:t xml:space="preserve">(London: </w:t>
      </w:r>
      <w:proofErr w:type="spellStart"/>
      <w:r>
        <w:rPr>
          <w:rFonts w:ascii="Times New Roman" w:eastAsia="Times New Roman" w:hAnsi="Times New Roman" w:cs="Times New Roman"/>
        </w:rPr>
        <w:t>Lutterworth</w:t>
      </w:r>
      <w:proofErr w:type="spellEnd"/>
      <w:r>
        <w:rPr>
          <w:rFonts w:ascii="Times New Roman" w:eastAsia="Times New Roman" w:hAnsi="Times New Roman" w:cs="Times New Roman"/>
        </w:rPr>
        <w:t>, 1953)</w:t>
      </w:r>
    </w:p>
    <w:p w:rsidR="001C4B52" w:rsidRDefault="001C4B52" w:rsidP="005F28CB">
      <w:pPr>
        <w:rPr>
          <w:rFonts w:ascii="Times New Roman" w:eastAsia="Times New Roman" w:hAnsi="Times New Roman" w:cs="Times New Roman"/>
        </w:rPr>
      </w:pPr>
    </w:p>
    <w:p w:rsidR="00B66859" w:rsidRDefault="001C4B52" w:rsidP="005F28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Assignment: After reviewing the service of baptism in the Prayer Book and completing the assigned readings listed, above, write a homily </w:t>
      </w:r>
      <w:r w:rsidR="00B66859">
        <w:rPr>
          <w:rFonts w:ascii="Times New Roman" w:eastAsia="Times New Roman" w:hAnsi="Times New Roman" w:cs="Times New Roman"/>
        </w:rPr>
        <w:t xml:space="preserve">that could be used at a baptismal service. </w:t>
      </w:r>
    </w:p>
    <w:p w:rsidR="00B66859" w:rsidRDefault="00B66859" w:rsidP="00B66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66859">
        <w:rPr>
          <w:rFonts w:ascii="Times New Roman" w:eastAsia="Times New Roman" w:hAnsi="Times New Roman" w:cs="Times New Roman"/>
        </w:rPr>
        <w:t>You should clearly indicate the Gospel and Epistle readings that will precede the homily</w:t>
      </w:r>
      <w:r w:rsidR="005A551B">
        <w:rPr>
          <w:rFonts w:ascii="Times New Roman" w:eastAsia="Times New Roman" w:hAnsi="Times New Roman" w:cs="Times New Roman"/>
        </w:rPr>
        <w:t xml:space="preserve"> and how you will transition from these to give an explanation of baptism</w:t>
      </w:r>
      <w:r>
        <w:rPr>
          <w:rFonts w:ascii="Times New Roman" w:eastAsia="Times New Roman" w:hAnsi="Times New Roman" w:cs="Times New Roman"/>
        </w:rPr>
        <w:t>.</w:t>
      </w:r>
      <w:r w:rsidR="00405623">
        <w:rPr>
          <w:rFonts w:ascii="Times New Roman" w:eastAsia="Times New Roman" w:hAnsi="Times New Roman" w:cs="Times New Roman"/>
        </w:rPr>
        <w:t xml:space="preserve"> (Consider using Rom. 6 as the epistle text.)</w:t>
      </w:r>
    </w:p>
    <w:p w:rsidR="001C4B52" w:rsidRDefault="00B66859" w:rsidP="00B668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</w:t>
      </w:r>
      <w:r w:rsidRPr="00B66859">
        <w:rPr>
          <w:rFonts w:ascii="Times New Roman" w:eastAsia="Times New Roman" w:hAnsi="Times New Roman" w:cs="Times New Roman"/>
        </w:rPr>
        <w:t xml:space="preserve">should explain baptism in a way that assumes no prior knowledge of the Anglican tradition on the part of </w:t>
      </w:r>
      <w:r>
        <w:rPr>
          <w:rFonts w:ascii="Times New Roman" w:eastAsia="Times New Roman" w:hAnsi="Times New Roman" w:cs="Times New Roman"/>
        </w:rPr>
        <w:t>any friends and family members of t</w:t>
      </w:r>
      <w:r w:rsidR="006C3FE9">
        <w:rPr>
          <w:rFonts w:ascii="Times New Roman" w:eastAsia="Times New Roman" w:hAnsi="Times New Roman" w:cs="Times New Roman"/>
        </w:rPr>
        <w:t>he person being baptized who may be</w:t>
      </w:r>
      <w:r>
        <w:rPr>
          <w:rFonts w:ascii="Times New Roman" w:eastAsia="Times New Roman" w:hAnsi="Times New Roman" w:cs="Times New Roman"/>
        </w:rPr>
        <w:t xml:space="preserve"> present at the service.</w:t>
      </w:r>
    </w:p>
    <w:p w:rsidR="00B66859" w:rsidRDefault="00B66859" w:rsidP="00B66859">
      <w:pPr>
        <w:rPr>
          <w:rFonts w:ascii="Times New Roman" w:eastAsia="Times New Roman" w:hAnsi="Times New Roman" w:cs="Times New Roman"/>
        </w:rPr>
      </w:pPr>
    </w:p>
    <w:p w:rsidR="00680D87" w:rsidRPr="00680D87" w:rsidRDefault="00680D87" w:rsidP="00B66859">
      <w:pPr>
        <w:rPr>
          <w:rFonts w:eastAsia="Times New Roman" w:cstheme="minorHAnsi"/>
          <w:u w:val="single"/>
        </w:rPr>
      </w:pPr>
      <w:r w:rsidRPr="00680D87">
        <w:rPr>
          <w:rFonts w:eastAsia="Times New Roman" w:cstheme="minorHAnsi"/>
          <w:u w:val="single"/>
        </w:rPr>
        <w:t>Unit 2: The Nicene Creed as an Outline for Teaching the Faith</w:t>
      </w:r>
    </w:p>
    <w:p w:rsidR="00680D87" w:rsidRDefault="00680D87" w:rsidP="00B66859">
      <w:pPr>
        <w:rPr>
          <w:rFonts w:eastAsia="Times New Roman" w:cstheme="minorHAnsi"/>
        </w:rPr>
      </w:pPr>
      <w:r>
        <w:rPr>
          <w:rFonts w:eastAsia="Times New Roman" w:cstheme="minorHAnsi"/>
        </w:rPr>
        <w:t>Required Readings:</w:t>
      </w:r>
    </w:p>
    <w:p w:rsidR="00680D87" w:rsidRDefault="00680D87" w:rsidP="00B66859">
      <w:pPr>
        <w:rPr>
          <w:rFonts w:eastAsia="Times New Roman" w:cstheme="minorHAnsi"/>
        </w:rPr>
      </w:pPr>
      <w:r>
        <w:rPr>
          <w:rFonts w:eastAsia="Times New Roman" w:cstheme="minorHAnsi"/>
        </w:rPr>
        <w:t>John Pearson, An Exposition of the Creed (</w:t>
      </w:r>
      <w:r w:rsidR="005454A0">
        <w:rPr>
          <w:rFonts w:eastAsia="Times New Roman" w:cstheme="minorHAnsi"/>
        </w:rPr>
        <w:t>use this edition:</w:t>
      </w:r>
      <w:r w:rsidR="006C3FE9" w:rsidRPr="006C3FE9">
        <w:t xml:space="preserve"> </w:t>
      </w:r>
      <w:hyperlink r:id="rId6" w:history="1">
        <w:r w:rsidR="006C3FE9" w:rsidRPr="001A65D6">
          <w:rPr>
            <w:rStyle w:val="Hyperlink"/>
            <w:rFonts w:eastAsia="Times New Roman" w:cstheme="minorHAnsi"/>
          </w:rPr>
          <w:t>http://anglicanhistory.org/pearson/creed/article01a.pdf</w:t>
        </w:r>
      </w:hyperlink>
      <w:r w:rsidR="006C3FE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)</w:t>
      </w:r>
    </w:p>
    <w:p w:rsidR="005454A0" w:rsidRDefault="005454A0" w:rsidP="00B6685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Edward Walford’s </w:t>
      </w:r>
      <w:r w:rsidR="00680D87">
        <w:rPr>
          <w:rFonts w:eastAsia="Times New Roman" w:cstheme="minorHAnsi"/>
        </w:rPr>
        <w:t xml:space="preserve">Analysis </w:t>
      </w:r>
      <w:r>
        <w:rPr>
          <w:rFonts w:eastAsia="Times New Roman" w:cstheme="minorHAnsi"/>
        </w:rPr>
        <w:t xml:space="preserve">of Pearson, </w:t>
      </w:r>
      <w:r>
        <w:rPr>
          <w:rFonts w:eastAsia="Times New Roman" w:cstheme="minorHAnsi"/>
          <w:i/>
        </w:rPr>
        <w:t xml:space="preserve">An Exposition of the Creed </w:t>
      </w:r>
      <w:r w:rsidR="00680D87">
        <w:rPr>
          <w:rFonts w:eastAsia="Times New Roman" w:cstheme="minorHAnsi"/>
        </w:rPr>
        <w:t xml:space="preserve">(pp, </w:t>
      </w:r>
      <w:r>
        <w:rPr>
          <w:rFonts w:eastAsia="Times New Roman" w:cstheme="minorHAnsi"/>
        </w:rPr>
        <w:t>xvi-xxxvi of the 1889 edition of Pearson:</w:t>
      </w:r>
    </w:p>
    <w:p w:rsidR="00680D87" w:rsidRDefault="005454A0" w:rsidP="00B6685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hyperlink r:id="rId7" w:history="1">
        <w:r w:rsidRPr="001A65D6">
          <w:rPr>
            <w:rStyle w:val="Hyperlink"/>
            <w:rFonts w:eastAsia="Times New Roman" w:cstheme="minorHAnsi"/>
          </w:rPr>
          <w:t>https://babel.hathitrust.org/cgi/pt?id=chi.18043926;view=1up;seq=16</w:t>
        </w:r>
      </w:hyperlink>
      <w:r>
        <w:rPr>
          <w:rFonts w:eastAsia="Times New Roman" w:cstheme="minorHAnsi"/>
        </w:rPr>
        <w:t xml:space="preserve"> )</w:t>
      </w:r>
    </w:p>
    <w:p w:rsidR="00680D87" w:rsidRDefault="00680D87" w:rsidP="00B66859">
      <w:pPr>
        <w:rPr>
          <w:rFonts w:eastAsia="Times New Roman" w:cstheme="minorHAnsi"/>
        </w:rPr>
      </w:pPr>
    </w:p>
    <w:p w:rsidR="00680D87" w:rsidRDefault="009C4D35" w:rsidP="00B66859">
      <w:pPr>
        <w:rPr>
          <w:rFonts w:eastAsia="Times New Roman" w:cstheme="minorHAnsi"/>
        </w:rPr>
      </w:pPr>
      <w:r>
        <w:rPr>
          <w:rFonts w:eastAsia="Times New Roman" w:cstheme="minorHAnsi"/>
        </w:rPr>
        <w:t>Assignment: Prepare an outline for a teaching series in an adult education class, using the articles of the Nicene Creed to explain the faith to persons who have not previously had any systematic instruction</w:t>
      </w:r>
      <w:r w:rsidR="006C3FE9">
        <w:rPr>
          <w:rFonts w:eastAsia="Times New Roman" w:cstheme="minorHAnsi"/>
        </w:rPr>
        <w:t xml:space="preserve"> in the Church’s teaching</w:t>
      </w:r>
      <w:r>
        <w:rPr>
          <w:rFonts w:eastAsia="Times New Roman" w:cstheme="minorHAnsi"/>
        </w:rPr>
        <w:t xml:space="preserve">. After each article of the creed, give an outline in bullet points of </w:t>
      </w:r>
      <w:r w:rsidR="00C247F1">
        <w:rPr>
          <w:rFonts w:eastAsia="Times New Roman" w:cstheme="minorHAnsi"/>
        </w:rPr>
        <w:t xml:space="preserve">major points to be covered and any illustrations to be used. </w:t>
      </w:r>
    </w:p>
    <w:p w:rsidR="009C4D35" w:rsidRPr="00680D87" w:rsidRDefault="009C4D35" w:rsidP="00B66859">
      <w:pPr>
        <w:rPr>
          <w:rFonts w:eastAsia="Times New Roman" w:cstheme="minorHAnsi"/>
        </w:rPr>
      </w:pPr>
    </w:p>
    <w:p w:rsidR="005F28CB" w:rsidRDefault="00680D87">
      <w:pPr>
        <w:rPr>
          <w:u w:val="single"/>
        </w:rPr>
      </w:pPr>
      <w:r>
        <w:rPr>
          <w:u w:val="single"/>
        </w:rPr>
        <w:t>Unit 3</w:t>
      </w:r>
      <w:r w:rsidR="00B66859" w:rsidRPr="008A4E55">
        <w:rPr>
          <w:u w:val="single"/>
        </w:rPr>
        <w:t xml:space="preserve">: Confession and Absolution </w:t>
      </w:r>
      <w:r w:rsidR="008A4E55" w:rsidRPr="008A4E55">
        <w:rPr>
          <w:u w:val="single"/>
        </w:rPr>
        <w:t>as a Pastoral Function in the Anglican Tradition</w:t>
      </w:r>
    </w:p>
    <w:p w:rsidR="008A4E55" w:rsidRDefault="008A4E55">
      <w:r>
        <w:t>Required Readings:</w:t>
      </w:r>
    </w:p>
    <w:p w:rsidR="008A4E55" w:rsidRDefault="008A4E55" w:rsidP="008A4E55">
      <w:r>
        <w:t xml:space="preserve">Frank </w:t>
      </w:r>
      <w:proofErr w:type="spellStart"/>
      <w:r>
        <w:t>Hulme</w:t>
      </w:r>
      <w:proofErr w:type="spellEnd"/>
      <w:r>
        <w:t>, The Hand Outstretched: A Guide to Repentance</w:t>
      </w:r>
      <w:r>
        <w:t xml:space="preserve"> (London: A.R. Mowbray, 1925 or later edition)</w:t>
      </w:r>
    </w:p>
    <w:p w:rsidR="008A4E55" w:rsidRDefault="008A4E55" w:rsidP="008A4E55">
      <w:r>
        <w:t>K.E. Kirk (ed.)</w:t>
      </w:r>
      <w:r>
        <w:t>,</w:t>
      </w:r>
      <w:r>
        <w:t xml:space="preserve"> </w:t>
      </w:r>
      <w:r w:rsidRPr="008A4E55">
        <w:rPr>
          <w:i/>
        </w:rPr>
        <w:t>Notes on Sins and Their Remedies</w:t>
      </w:r>
      <w:r w:rsidRPr="008A4E55">
        <w:rPr>
          <w:i/>
        </w:rPr>
        <w:t>, Together with The Christian’s Mirror</w:t>
      </w:r>
      <w:r>
        <w:t xml:space="preserve"> (London: The Faith Press, 1935)</w:t>
      </w:r>
    </w:p>
    <w:p w:rsidR="008A4E55" w:rsidRDefault="008A4E55" w:rsidP="008A4E55">
      <w:r>
        <w:t xml:space="preserve">Francis George Belton, </w:t>
      </w:r>
      <w:r w:rsidRPr="008A4E55">
        <w:rPr>
          <w:i/>
        </w:rPr>
        <w:t>A Manual for Confessors</w:t>
      </w:r>
      <w:r w:rsidR="009A53E8">
        <w:t>, 3</w:t>
      </w:r>
      <w:r w:rsidR="009A53E8" w:rsidRPr="009A53E8">
        <w:rPr>
          <w:vertAlign w:val="superscript"/>
        </w:rPr>
        <w:t>rd</w:t>
      </w:r>
      <w:r w:rsidR="009A53E8">
        <w:t xml:space="preserve"> rev.  edition</w:t>
      </w:r>
      <w:r>
        <w:t xml:space="preserve"> (</w:t>
      </w:r>
      <w:r w:rsidR="009A53E8">
        <w:t>London: Mowbray, 1936 or 1955</w:t>
      </w:r>
      <w:r>
        <w:t>)</w:t>
      </w:r>
    </w:p>
    <w:p w:rsidR="008A4E55" w:rsidRDefault="008A4E55" w:rsidP="008A4E55">
      <w:r>
        <w:t xml:space="preserve">Kenneth Ross, </w:t>
      </w:r>
      <w:r w:rsidRPr="008A4E55">
        <w:rPr>
          <w:i/>
        </w:rPr>
        <w:t>Hearing Confessions</w:t>
      </w:r>
      <w:r>
        <w:t xml:space="preserve"> (</w:t>
      </w:r>
      <w:r w:rsidR="009A53E8">
        <w:t>London: SPCK, 1974</w:t>
      </w:r>
      <w:r>
        <w:t>)</w:t>
      </w:r>
    </w:p>
    <w:p w:rsidR="009A53E8" w:rsidRDefault="009A53E8" w:rsidP="008A4E55"/>
    <w:p w:rsidR="009A53E8" w:rsidRDefault="009A53E8" w:rsidP="008A4E55">
      <w:r>
        <w:lastRenderedPageBreak/>
        <w:t xml:space="preserve">Assignment: Create a presentation designed for new church members (which may include persons from non-Anglican backgrounds) which explains how the priestly ministry of confession and absolution functions in the Anglican church and how it can practical help for spiritual growth. </w:t>
      </w:r>
    </w:p>
    <w:p w:rsidR="00405623" w:rsidRDefault="009A53E8" w:rsidP="009A53E8">
      <w:pPr>
        <w:pStyle w:val="ListParagraph"/>
        <w:numPr>
          <w:ilvl w:val="0"/>
          <w:numId w:val="2"/>
        </w:numPr>
      </w:pPr>
      <w:r>
        <w:t xml:space="preserve">Explain the biblical basis for </w:t>
      </w:r>
      <w:r w:rsidR="00405623">
        <w:t xml:space="preserve">confession and the pronouncing of absolution. Consider discussing at the least </w:t>
      </w:r>
      <w:r w:rsidR="00E42817">
        <w:t xml:space="preserve">some of </w:t>
      </w:r>
      <w:r w:rsidR="00405623">
        <w:t xml:space="preserve">the following texts: </w:t>
      </w:r>
    </w:p>
    <w:p w:rsidR="00405623" w:rsidRDefault="00405623" w:rsidP="00405623">
      <w:pPr>
        <w:pStyle w:val="ListParagraph"/>
        <w:numPr>
          <w:ilvl w:val="1"/>
          <w:numId w:val="2"/>
        </w:numPr>
      </w:pPr>
      <w:r>
        <w:t>Confession: Mt. 3:6=Mk. 1:5; 1 Jn. 1:5-10; James 5:15-16.</w:t>
      </w:r>
    </w:p>
    <w:p w:rsidR="009A53E8" w:rsidRDefault="00405623" w:rsidP="00405623">
      <w:pPr>
        <w:pStyle w:val="ListParagraph"/>
        <w:numPr>
          <w:ilvl w:val="1"/>
          <w:numId w:val="2"/>
        </w:numPr>
      </w:pPr>
      <w:r>
        <w:t>Absolution</w:t>
      </w:r>
      <w:r w:rsidR="00E42817">
        <w:t>:</w:t>
      </w:r>
      <w:r>
        <w:t xml:space="preserve"> Ps. 32:1; Mt. 9:2</w:t>
      </w:r>
      <w:r w:rsidR="00E42817">
        <w:t>=Mk.2:5=Lk. 5:20; Jn. 20:23; Rom. 4:7-8; 1 Jn. 2:12.</w:t>
      </w:r>
    </w:p>
    <w:p w:rsidR="00E42817" w:rsidRDefault="00680D87" w:rsidP="00E42817">
      <w:pPr>
        <w:pStyle w:val="ListParagraph"/>
        <w:numPr>
          <w:ilvl w:val="0"/>
          <w:numId w:val="2"/>
        </w:numPr>
      </w:pPr>
      <w:r>
        <w:t xml:space="preserve">Explain the goal of confession and how this offers a different understanding of reconciliation and restoration than one finds in non-denominational churches that lack a formal rite of confession. </w:t>
      </w:r>
    </w:p>
    <w:p w:rsidR="00E42817" w:rsidRDefault="00E42817" w:rsidP="00680D87">
      <w:pPr>
        <w:pStyle w:val="ListParagraph"/>
        <w:numPr>
          <w:ilvl w:val="0"/>
          <w:numId w:val="2"/>
        </w:numPr>
      </w:pPr>
      <w:r>
        <w:t>Explain how information received from a penitent is covered by the “</w:t>
      </w:r>
      <w:r w:rsidR="00680D87">
        <w:t>seal of the confessional</w:t>
      </w:r>
      <w:r>
        <w:t>, what this means, and whether there are any times when the priest must release information received in confidence (</w:t>
      </w:r>
      <w:r w:rsidR="00680D87">
        <w:t xml:space="preserve">currently debated examples include intent to harm oneself or revealing abuse of minors or vulnerable elderly adults). For a sample discussion of this topic, see </w:t>
      </w:r>
      <w:hyperlink r:id="rId8" w:history="1">
        <w:r w:rsidR="00680D87" w:rsidRPr="001A65D6">
          <w:rPr>
            <w:rStyle w:val="Hyperlink"/>
          </w:rPr>
          <w:t>http://anglicanpastor.com/confession-and-mercy-in-an-age-of-justice/</w:t>
        </w:r>
      </w:hyperlink>
      <w:r w:rsidR="00680D87">
        <w:t xml:space="preserve"> </w:t>
      </w:r>
    </w:p>
    <w:p w:rsidR="00680D87" w:rsidRDefault="00680D87" w:rsidP="00680D87"/>
    <w:p w:rsidR="00680D87" w:rsidRDefault="00680D87" w:rsidP="00680D87"/>
    <w:p w:rsidR="00680D87" w:rsidRDefault="00C247F1" w:rsidP="00C247F1">
      <w:r>
        <w:t>Unit 4: Pastoral Spirituality and Health in Anglican Ministry</w:t>
      </w:r>
    </w:p>
    <w:p w:rsidR="00C247F1" w:rsidRDefault="00C247F1" w:rsidP="00C247F1">
      <w:r>
        <w:t>Required Readings:</w:t>
      </w:r>
    </w:p>
    <w:p w:rsidR="00C247F1" w:rsidRDefault="00C247F1" w:rsidP="00C247F1">
      <w:r>
        <w:t xml:space="preserve">Thomas Ken, “Directions for Prayer,” in </w:t>
      </w:r>
      <w:r>
        <w:rPr>
          <w:i/>
        </w:rPr>
        <w:t xml:space="preserve">The Prose Works of the Right Reverend Thomas Ken, </w:t>
      </w:r>
      <w:r>
        <w:t xml:space="preserve">ed. W. Benham (London: Griffith, </w:t>
      </w:r>
      <w:proofErr w:type="spellStart"/>
      <w:r>
        <w:t>Farran</w:t>
      </w:r>
      <w:proofErr w:type="spellEnd"/>
      <w:r>
        <w:t xml:space="preserve">, </w:t>
      </w:r>
      <w:proofErr w:type="spellStart"/>
      <w:r>
        <w:t>Okeden</w:t>
      </w:r>
      <w:proofErr w:type="spellEnd"/>
      <w:r>
        <w:t xml:space="preserve"> and Welsh, 1872), 192-205.</w:t>
      </w:r>
    </w:p>
    <w:p w:rsidR="00C247F1" w:rsidRDefault="00C247F1" w:rsidP="00C247F1">
      <w:r>
        <w:t xml:space="preserve">Available online at </w:t>
      </w:r>
      <w:r>
        <w:t xml:space="preserve"> </w:t>
      </w:r>
      <w:r w:rsidR="00A01AC9">
        <w:fldChar w:fldCharType="begin"/>
      </w:r>
      <w:r w:rsidR="00A01AC9">
        <w:instrText xml:space="preserve"> HYPERLINK "</w:instrText>
      </w:r>
      <w:r w:rsidR="00A01AC9" w:rsidRPr="00A01AC9">
        <w:instrText>https://archive.org/details/proseworksofrigh187200kent</w:instrText>
      </w:r>
      <w:r w:rsidR="00A01AC9">
        <w:instrText xml:space="preserve">" </w:instrText>
      </w:r>
      <w:r w:rsidR="00A01AC9">
        <w:fldChar w:fldCharType="separate"/>
      </w:r>
      <w:r w:rsidR="00A01AC9" w:rsidRPr="001A65D6">
        <w:rPr>
          <w:rStyle w:val="Hyperlink"/>
        </w:rPr>
        <w:t>https://archive.org/details/proseworksofrigh187200kent</w:t>
      </w:r>
      <w:r w:rsidR="00A01AC9">
        <w:fldChar w:fldCharType="end"/>
      </w:r>
      <w:r w:rsidR="00A01AC9">
        <w:t xml:space="preserve"> </w:t>
      </w:r>
    </w:p>
    <w:p w:rsidR="006C3FE9" w:rsidRDefault="006C3FE9" w:rsidP="00C247F1">
      <w:r w:rsidRPr="006C3FE9">
        <w:t xml:space="preserve">Iain Matthew, </w:t>
      </w:r>
      <w:r w:rsidRPr="006C3FE9">
        <w:rPr>
          <w:i/>
        </w:rPr>
        <w:t>The Impact of God: Soundings from John of the Cross</w:t>
      </w:r>
      <w:r w:rsidRPr="006C3FE9">
        <w:t xml:space="preserve"> (London: Hodder, 1995)</w:t>
      </w:r>
      <w:r>
        <w:t xml:space="preserve"> </w:t>
      </w:r>
    </w:p>
    <w:p w:rsidR="006C3FE9" w:rsidRDefault="006C3FE9" w:rsidP="006C3FE9">
      <w:r>
        <w:t>Criteria for Selection for Ministry in the Church of England (Ordained and Accredited Lay Ministry) 2005 (Church House Publishing)</w:t>
      </w:r>
    </w:p>
    <w:p w:rsidR="006C3FE9" w:rsidRDefault="006C3FE9" w:rsidP="006C3FE9">
      <w:r>
        <w:t xml:space="preserve">Yvonne Warren, </w:t>
      </w:r>
      <w:r w:rsidRPr="006C3FE9">
        <w:rPr>
          <w:i/>
        </w:rPr>
        <w:t>The Cracked Pot: The State of Today’s Anglican Parish Clergy</w:t>
      </w:r>
      <w:r>
        <w:t xml:space="preserve"> (</w:t>
      </w:r>
      <w:proofErr w:type="spellStart"/>
      <w:r>
        <w:t>Buxhall</w:t>
      </w:r>
      <w:proofErr w:type="spellEnd"/>
      <w:r>
        <w:t>, Suffolk: Kevin Mayhew, 2002)</w:t>
      </w:r>
    </w:p>
    <w:p w:rsidR="006C3FE9" w:rsidRDefault="006C3FE9" w:rsidP="006C3FE9"/>
    <w:p w:rsidR="006C3FE9" w:rsidRDefault="006C3FE9" w:rsidP="006C3FE9">
      <w:r>
        <w:t>Assignment: Write a rule of life that you intend to follow in ministry, using bullet points to summarize essential practices</w:t>
      </w:r>
      <w:r w:rsidR="005A551B">
        <w:t xml:space="preserve"> of prayer and things important </w:t>
      </w:r>
      <w:r>
        <w:t xml:space="preserve">to </w:t>
      </w:r>
      <w:r w:rsidR="005A551B">
        <w:t xml:space="preserve">spiritual growth </w:t>
      </w:r>
      <w:bookmarkStart w:id="0" w:name="_GoBack"/>
      <w:bookmarkEnd w:id="0"/>
      <w:r>
        <w:t>and relational health.</w:t>
      </w:r>
    </w:p>
    <w:p w:rsidR="00A01AC9" w:rsidRPr="008A4E55" w:rsidRDefault="00A01AC9" w:rsidP="00C247F1"/>
    <w:sectPr w:rsidR="00A01AC9" w:rsidRPr="008A4E55" w:rsidSect="00B0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1347"/>
    <w:multiLevelType w:val="hybridMultilevel"/>
    <w:tmpl w:val="D108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286"/>
    <w:multiLevelType w:val="hybridMultilevel"/>
    <w:tmpl w:val="8738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CB"/>
    <w:rsid w:val="001C4B52"/>
    <w:rsid w:val="002147AB"/>
    <w:rsid w:val="00405623"/>
    <w:rsid w:val="005454A0"/>
    <w:rsid w:val="005A551B"/>
    <w:rsid w:val="005F28CB"/>
    <w:rsid w:val="00680D87"/>
    <w:rsid w:val="006C3FE9"/>
    <w:rsid w:val="006E67AA"/>
    <w:rsid w:val="00892D5B"/>
    <w:rsid w:val="008A4E55"/>
    <w:rsid w:val="009A53E8"/>
    <w:rsid w:val="009C4D35"/>
    <w:rsid w:val="00A01AC9"/>
    <w:rsid w:val="00B05517"/>
    <w:rsid w:val="00B66859"/>
    <w:rsid w:val="00C247F1"/>
    <w:rsid w:val="00E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2DBA6"/>
  <w14:defaultImageDpi w14:val="32767"/>
  <w15:chartTrackingRefBased/>
  <w15:docId w15:val="{9FCC885F-63F8-1042-84F7-737270B5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28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68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canpastor.com/confession-and-mercy-in-an-age-of-jus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bel.hathitrust.org/cgi/pt?id=chi.18043926;view=1up;seq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canhistory.org/pearson/creed/article01a.pdf" TargetMode="External"/><Relationship Id="rId5" Type="http://schemas.openxmlformats.org/officeDocument/2006/relationships/hyperlink" Target="mailto:byard.bennett@cornerston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Byard Bennett</dc:creator>
  <cp:keywords/>
  <dc:description/>
  <cp:lastModifiedBy>Byard Bennett</cp:lastModifiedBy>
  <cp:revision>5</cp:revision>
  <dcterms:created xsi:type="dcterms:W3CDTF">2018-06-07T19:47:00Z</dcterms:created>
  <dcterms:modified xsi:type="dcterms:W3CDTF">2018-06-07T21:49:00Z</dcterms:modified>
</cp:coreProperties>
</file>